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Mar>
          <w:left w:w="0" w:type="dxa"/>
          <w:right w:w="0" w:type="dxa"/>
        </w:tblCellMar>
        <w:tblLook w:val="04A0" w:firstRow="1" w:lastRow="0" w:firstColumn="1" w:lastColumn="0" w:noHBand="0" w:noVBand="1"/>
      </w:tblPr>
      <w:tblGrid>
        <w:gridCol w:w="11952"/>
      </w:tblGrid>
      <w:tr w:rsidR="00D752EF" w:rsidRPr="00D752EF" w:rsidTr="00D752EF">
        <w:tc>
          <w:tcPr>
            <w:tcW w:w="0" w:type="auto"/>
            <w:tcMar>
              <w:top w:w="0" w:type="dxa"/>
              <w:left w:w="135" w:type="dxa"/>
              <w:bottom w:w="0" w:type="dxa"/>
              <w:right w:w="135" w:type="dxa"/>
            </w:tcMar>
            <w:hideMark/>
          </w:tcPr>
          <w:p w:rsidR="00D752EF" w:rsidRDefault="00D752EF" w:rsidP="00D752EF">
            <w:bookmarkStart w:id="0" w:name="_GoBack"/>
            <w:r w:rsidRPr="00D752EF">
              <w:drawing>
                <wp:inline distT="0" distB="0" distL="0" distR="0">
                  <wp:extent cx="7372350" cy="1304274"/>
                  <wp:effectExtent l="0" t="0" r="0" b="0"/>
                  <wp:docPr id="1" name="Picture 1" descr="https://gallery.mailchimp.com/322a2359adf7262cd17ce6b30/images/ace3a06d-bf7d-4241-bba6-23c0cbbd9b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22a2359adf7262cd17ce6b30/images/ace3a06d-bf7d-4241-bba6-23c0cbbd9bb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61152" cy="1355367"/>
                          </a:xfrm>
                          <a:prstGeom prst="rect">
                            <a:avLst/>
                          </a:prstGeom>
                          <a:noFill/>
                          <a:ln>
                            <a:noFill/>
                          </a:ln>
                        </pic:spPr>
                      </pic:pic>
                    </a:graphicData>
                  </a:graphic>
                </wp:inline>
              </w:drawing>
            </w:r>
            <w:bookmarkEnd w:id="0"/>
          </w:p>
          <w:tbl>
            <w:tblPr>
              <w:tblW w:w="5000" w:type="pct"/>
              <w:jc w:val="center"/>
              <w:tblCellMar>
                <w:left w:w="0" w:type="dxa"/>
                <w:right w:w="0" w:type="dxa"/>
              </w:tblCellMar>
              <w:tblLook w:val="04A0" w:firstRow="1" w:lastRow="0" w:firstColumn="1" w:lastColumn="0" w:noHBand="0" w:noVBand="1"/>
            </w:tblPr>
            <w:tblGrid>
              <w:gridCol w:w="11682"/>
            </w:tblGrid>
            <w:tr w:rsidR="00D752EF" w:rsidRPr="00D752EF" w:rsidTr="00D752EF">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1682"/>
                  </w:tblGrid>
                  <w:tr w:rsidR="00D752EF" w:rsidRPr="00D752E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1682"/>
                        </w:tblGrid>
                        <w:tr w:rsidR="00D752EF" w:rsidRPr="00D752E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682"/>
                              </w:tblGrid>
                              <w:tr w:rsidR="00D752EF" w:rsidRPr="00D752EF">
                                <w:tc>
                                  <w:tcPr>
                                    <w:tcW w:w="0" w:type="auto"/>
                                    <w:tcMar>
                                      <w:top w:w="0" w:type="dxa"/>
                                      <w:left w:w="270" w:type="dxa"/>
                                      <w:bottom w:w="135" w:type="dxa"/>
                                      <w:right w:w="270" w:type="dxa"/>
                                    </w:tcMar>
                                    <w:hideMark/>
                                  </w:tcPr>
                                  <w:p w:rsidR="00D752EF" w:rsidRPr="00D752EF" w:rsidRDefault="00D752EF" w:rsidP="00D752EF">
                                    <w:pPr>
                                      <w:spacing w:after="0" w:line="360" w:lineRule="auto"/>
                                      <w:rPr>
                                        <w:rFonts w:ascii="Helvetica" w:eastAsia="Calibri" w:hAnsi="Helvetica" w:cs="Helvetica"/>
                                        <w:color w:val="202020"/>
                                        <w:sz w:val="20"/>
                                        <w:szCs w:val="20"/>
                                      </w:rPr>
                                    </w:pPr>
                                    <w:r>
                                      <w:rPr>
                                        <w:rFonts w:ascii="Times New Roman" w:hAnsi="Times New Roman" w:cs="Times New Roman"/>
                                        <w:noProof/>
                                        <w:sz w:val="24"/>
                                        <w:szCs w:val="24"/>
                                      </w:rPr>
                                      <w:drawing>
                                        <wp:anchor distT="0" distB="0" distL="0" distR="0" simplePos="0" relativeHeight="251661312" behindDoc="0" locked="0" layoutInCell="1" allowOverlap="0">
                                          <wp:simplePos x="0" y="0"/>
                                          <wp:positionH relativeFrom="column">
                                            <wp:align>right</wp:align>
                                          </wp:positionH>
                                          <wp:positionV relativeFrom="line">
                                            <wp:posOffset>-142875</wp:posOffset>
                                          </wp:positionV>
                                          <wp:extent cx="1933575" cy="2495550"/>
                                          <wp:effectExtent l="0" t="0" r="9525" b="0"/>
                                          <wp:wrapSquare wrapText="bothSides"/>
                                          <wp:docPr id="6" name="Picture 6" descr="https://gallery.mailchimp.com/322a2359adf7262cd17ce6b30/images/44c6ef2b-55c8-4980-8093-cf0d6236ccbe.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22a2359adf7262cd17ce6b30/images/44c6ef2b-55c8-4980-8093-cf0d6236ccbe.png">
                                                    <a:hlinkClick r:id="rId6" tgtFrame="&quot;_blank&quot;"/>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33575" cy="2495550"/>
                                                  </a:xfrm>
                                                  <a:prstGeom prst="rect">
                                                    <a:avLst/>
                                                  </a:prstGeom>
                                                  <a:noFill/>
                                                </pic:spPr>
                                              </pic:pic>
                                            </a:graphicData>
                                          </a:graphic>
                                          <wp14:sizeRelH relativeFrom="page">
                                            <wp14:pctWidth>0</wp14:pctWidth>
                                          </wp14:sizeRelH>
                                          <wp14:sizeRelV relativeFrom="page">
                                            <wp14:pctHeight>0</wp14:pctHeight>
                                          </wp14:sizeRelV>
                                        </wp:anchor>
                                      </w:drawing>
                                    </w:r>
                                    <w:r w:rsidRPr="00D752EF">
                                      <w:rPr>
                                        <w:rFonts w:ascii="Helvetica" w:eastAsia="Calibri" w:hAnsi="Helvetica" w:cs="Helvetica"/>
                                        <w:b/>
                                        <w:bCs/>
                                        <w:color w:val="202020"/>
                                        <w:sz w:val="30"/>
                                        <w:szCs w:val="30"/>
                                      </w:rPr>
                                      <w:t>COVER CROP SURVEY REFLECTS ENTHUSIASM FOR THE SOIL-SAVING PRACTICE</w:t>
                                    </w:r>
                                    <w:r w:rsidRPr="00D752EF">
                                      <w:rPr>
                                        <w:rFonts w:ascii="Helvetica" w:eastAsia="Calibri" w:hAnsi="Helvetica" w:cs="Helvetica"/>
                                        <w:color w:val="202020"/>
                                        <w:sz w:val="20"/>
                                        <w:szCs w:val="20"/>
                                      </w:rPr>
                                      <w:t xml:space="preserve"> </w:t>
                                    </w:r>
                                  </w:p>
                                  <w:p w:rsidR="00D752EF" w:rsidRPr="00D752EF" w:rsidRDefault="00D752EF" w:rsidP="00D752EF">
                                    <w:pPr>
                                      <w:spacing w:after="0" w:line="360" w:lineRule="auto"/>
                                      <w:contextualSpacing/>
                                      <w:rPr>
                                        <w:rFonts w:ascii="Helvetica" w:eastAsia="Calibri" w:hAnsi="Helvetica" w:cs="Helvetica"/>
                                        <w:color w:val="202020"/>
                                        <w:sz w:val="20"/>
                                        <w:szCs w:val="20"/>
                                      </w:rPr>
                                    </w:pPr>
                                    <w:r w:rsidRPr="00D752EF">
                                      <w:rPr>
                                        <w:rFonts w:ascii="Helvetica" w:eastAsia="Calibri" w:hAnsi="Helvetica" w:cs="Helvetica"/>
                                        <w:color w:val="202020"/>
                                        <w:sz w:val="20"/>
                                        <w:szCs w:val="20"/>
                                      </w:rPr>
                                      <w:t>WEST LAFAYETTE, Indiana (July 28, 2016)—Insight from 2,020 farmers from across the country reflected enthusiasm for cover crops and—for the fourth year in a row—found a yield boost in corn and soybeans following cover crops. Multi-year data from the survey shows the yield boost increases as cover crops are planted year after year, a revelation that points to an appealing long-term benefit of the conservation practice. The survey offers data unavailable elsewhere, providing a vital glimpse into farmers’ use of and perceptions about cover crops. Previous SARE/CTIC Cover Crop Surveys have been used by researchers and farm groups, and even cited in Congressional testimony.</w:t>
                                    </w:r>
                                    <w:r w:rsidRPr="00D752EF">
                                      <w:rPr>
                                        <w:rFonts w:ascii="Helvetica" w:eastAsia="Calibri" w:hAnsi="Helvetica" w:cs="Helvetica"/>
                                        <w:color w:val="202020"/>
                                        <w:sz w:val="20"/>
                                        <w:szCs w:val="20"/>
                                      </w:rPr>
                                      <w:br/>
                                    </w:r>
                                    <w:r w:rsidRPr="00D752EF">
                                      <w:rPr>
                                        <w:rFonts w:ascii="Helvetica" w:eastAsia="Calibri" w:hAnsi="Helvetica" w:cs="Helvetica"/>
                                        <w:color w:val="202020"/>
                                        <w:sz w:val="20"/>
                                        <w:szCs w:val="20"/>
                                      </w:rPr>
                                      <w:br/>
                                      <w:t>The survey was conducted in March 2016 by the Sustainable Agriculture Research and Education (SARE) program and the Conservation Technology Information Center (CTIC) with help from the American Seed Trade Association (ASTA) and Purdue University.</w:t>
                                    </w:r>
                                    <w:r w:rsidRPr="00D752EF">
                                      <w:rPr>
                                        <w:rFonts w:ascii="Helvetica" w:eastAsia="Calibri" w:hAnsi="Helvetica" w:cs="Helvetica"/>
                                        <w:color w:val="202020"/>
                                        <w:sz w:val="20"/>
                                        <w:szCs w:val="20"/>
                                      </w:rPr>
                                      <w:br/>
                                    </w:r>
                                    <w:r w:rsidRPr="00D752EF">
                                      <w:rPr>
                                        <w:rFonts w:ascii="Helvetica" w:eastAsia="Calibri" w:hAnsi="Helvetica" w:cs="Helvetica"/>
                                        <w:color w:val="202020"/>
                                        <w:sz w:val="20"/>
                                        <w:szCs w:val="20"/>
                                      </w:rPr>
                                      <w:br/>
                                      <w:t>Acreage planted to cover crops continued its steady rise among survey participants, reaching an average of 298 acres per farm in 2015 and projected to grow to a mean of 339 acres in 2016. Those figures are more than double the acreage survey participants said they planted in 2011.</w:t>
                                    </w:r>
                                    <w:r w:rsidRPr="00D752EF">
                                      <w:rPr>
                                        <w:rFonts w:ascii="Helvetica" w:eastAsia="Calibri" w:hAnsi="Helvetica" w:cs="Helvetica"/>
                                        <w:color w:val="202020"/>
                                        <w:sz w:val="20"/>
                                        <w:szCs w:val="20"/>
                                      </w:rPr>
                                      <w:br/>
                                      <w:t> </w:t>
                                    </w:r>
                                    <w:r w:rsidRPr="00D752EF">
                                      <w:rPr>
                                        <w:rFonts w:ascii="Helvetica" w:eastAsia="Calibri" w:hAnsi="Helvetica" w:cs="Helvetica"/>
                                        <w:color w:val="202020"/>
                                        <w:sz w:val="20"/>
                                        <w:szCs w:val="20"/>
                                      </w:rPr>
                                      <w:br/>
                                    </w:r>
                                    <w:r w:rsidRPr="00D752EF">
                                      <w:rPr>
                                        <w:rFonts w:ascii="Helvetica" w:eastAsia="Calibri" w:hAnsi="Helvetica" w:cs="Helvetica"/>
                                        <w:b/>
                                        <w:bCs/>
                                        <w:color w:val="202020"/>
                                        <w:sz w:val="20"/>
                                        <w:szCs w:val="20"/>
                                      </w:rPr>
                                      <w:t>Yield Benefits</w:t>
                                    </w:r>
                                    <w:r w:rsidRPr="00D752EF">
                                      <w:rPr>
                                        <w:rFonts w:ascii="Helvetica" w:eastAsia="Calibri" w:hAnsi="Helvetica" w:cs="Helvetica"/>
                                        <w:color w:val="202020"/>
                                        <w:sz w:val="20"/>
                                        <w:szCs w:val="20"/>
                                      </w:rPr>
                                      <w:br/>
                                      <w:t>Corn yields rose an average 3.4 bushels per acre, or 1.9 percent, after cover crops, and soybean yields increased 1.5 bushels per acre, or 2.8 percent. Analysis of the survey data revealed that yield increases rose to 8.3 bushels per acre of corn after cover crops had been used for more than four years on a field. In soybeans, the average yield gain increased from 0.1 bushel per acre after a single year in cover crops to 2.4 bushels after four years of cover crops.</w:t>
                                    </w:r>
                                    <w:r w:rsidRPr="00D752EF">
                                      <w:rPr>
                                        <w:rFonts w:ascii="Helvetica" w:eastAsia="Calibri" w:hAnsi="Helvetica" w:cs="Helvetica"/>
                                        <w:color w:val="202020"/>
                                        <w:sz w:val="20"/>
                                        <w:szCs w:val="20"/>
                                      </w:rPr>
                                      <w:br/>
                                    </w:r>
                                    <w:r w:rsidRPr="00D752EF">
                                      <w:rPr>
                                        <w:rFonts w:ascii="Helvetica" w:eastAsia="Calibri" w:hAnsi="Helvetica" w:cs="Helvetica"/>
                                        <w:color w:val="202020"/>
                                        <w:sz w:val="20"/>
                                        <w:szCs w:val="20"/>
                                      </w:rPr>
                                      <w:br/>
                                      <w:t>The modest average gains reported for 2015 are in line with agronomists’ expectations for a good growing season, says Rob Myers, Regional Director, Extension Programs for SARE at the University of Missouri.</w:t>
                                    </w:r>
                                    <w:r w:rsidRPr="00D752EF">
                                      <w:rPr>
                                        <w:rFonts w:ascii="Helvetica" w:eastAsia="Calibri" w:hAnsi="Helvetica" w:cs="Helvetica"/>
                                        <w:color w:val="202020"/>
                                        <w:sz w:val="20"/>
                                        <w:szCs w:val="20"/>
                                      </w:rPr>
                                      <w:br/>
                                    </w:r>
                                    <w:r w:rsidRPr="00D752EF">
                                      <w:rPr>
                                        <w:rFonts w:ascii="Helvetica" w:eastAsia="Calibri" w:hAnsi="Helvetica" w:cs="Helvetica"/>
                                        <w:color w:val="202020"/>
                                        <w:sz w:val="20"/>
                                        <w:szCs w:val="20"/>
                                      </w:rPr>
                                      <w:br/>
                                      <w:t>“Cover crops really shine in challenging years, when the improvements they influence on soil moisture holding capacity and water infiltration can minimize cash crop yield losses to stress,” Myers notes. “In a favorable growing season, we expect to see less of a yield impact. However, the link between the length of time in cover crops and yield improvements points to the long-term benefits of building soil health.</w:t>
                                    </w:r>
                                    <w:r w:rsidRPr="00D752EF">
                                      <w:rPr>
                                        <w:rFonts w:ascii="Helvetica" w:eastAsia="Calibri" w:hAnsi="Helvetica" w:cs="Helvetica"/>
                                        <w:color w:val="202020"/>
                                        <w:sz w:val="20"/>
                                        <w:szCs w:val="20"/>
                                      </w:rPr>
                                      <w:br/>
                                    </w:r>
                                    <w:r w:rsidRPr="00D752EF">
                                      <w:rPr>
                                        <w:rFonts w:ascii="Helvetica" w:eastAsia="Calibri" w:hAnsi="Helvetica" w:cs="Helvetica"/>
                                        <w:color w:val="202020"/>
                                        <w:sz w:val="20"/>
                                        <w:szCs w:val="20"/>
                                      </w:rPr>
                                      <w:br/>
                                      <w:t>“It’s also important to note that two-thirds of this year’s survey respondents agreed that cover crops reduced yield variability during extreme weather events,” he adds. “These farmers are taking the long view and recognizing that not every season turns out like 2015.”</w:t>
                                    </w:r>
                                    <w:r w:rsidRPr="00D752EF">
                                      <w:rPr>
                                        <w:rFonts w:ascii="Helvetica" w:eastAsia="Calibri" w:hAnsi="Helvetica" w:cs="Helvetica"/>
                                        <w:color w:val="202020"/>
                                        <w:sz w:val="20"/>
                                        <w:szCs w:val="20"/>
                                      </w:rPr>
                                      <w:br/>
                                    </w:r>
                                    <w:r w:rsidRPr="00D752EF">
                                      <w:rPr>
                                        <w:rFonts w:ascii="Helvetica" w:eastAsia="Calibri" w:hAnsi="Helvetica" w:cs="Helvetica"/>
                                        <w:color w:val="202020"/>
                                        <w:sz w:val="20"/>
                                        <w:szCs w:val="20"/>
                                      </w:rPr>
                                      <w:lastRenderedPageBreak/>
                                      <w:t> </w:t>
                                    </w:r>
                                    <w:r w:rsidRPr="00D752EF">
                                      <w:rPr>
                                        <w:rFonts w:ascii="Helvetica" w:eastAsia="Calibri" w:hAnsi="Helvetica" w:cs="Helvetica"/>
                                        <w:color w:val="202020"/>
                                        <w:sz w:val="20"/>
                                        <w:szCs w:val="20"/>
                                      </w:rPr>
                                      <w:br/>
                                      <w:t>Myers added that a mild surprise in this year’s survey was how many farmers reported a profit benefit from cover crops. Of the farmers surveyed, 33% found their profit improved as a result of using a cover crop, while only 5.7% said their profit decreased; remaining responses were split between those reporting no change in profit and those not yet having enough data/experience to evaluate profit impact.</w:t>
                                    </w:r>
                                    <w:r w:rsidRPr="00D752EF">
                                      <w:rPr>
                                        <w:rFonts w:ascii="Helvetica" w:eastAsia="Calibri" w:hAnsi="Helvetica" w:cs="Helvetica"/>
                                        <w:color w:val="202020"/>
                                        <w:sz w:val="20"/>
                                        <w:szCs w:val="20"/>
                                      </w:rPr>
                                      <w:br/>
                                      <w:t> </w:t>
                                    </w:r>
                                    <w:r w:rsidRPr="00D752EF">
                                      <w:rPr>
                                        <w:rFonts w:ascii="Helvetica" w:eastAsia="Calibri" w:hAnsi="Helvetica" w:cs="Helvetica"/>
                                        <w:color w:val="202020"/>
                                        <w:sz w:val="20"/>
                                        <w:szCs w:val="20"/>
                                      </w:rPr>
                                      <w:br/>
                                    </w:r>
                                    <w:r w:rsidRPr="00D752EF">
                                      <w:rPr>
                                        <w:rFonts w:ascii="Helvetica" w:eastAsia="Calibri" w:hAnsi="Helvetica" w:cs="Helvetica"/>
                                        <w:b/>
                                        <w:bCs/>
                                        <w:color w:val="202020"/>
                                        <w:sz w:val="20"/>
                                        <w:szCs w:val="20"/>
                                      </w:rPr>
                                      <w:t>More Than Money</w:t>
                                    </w:r>
                                    <w:r w:rsidRPr="00D752EF">
                                      <w:rPr>
                                        <w:rFonts w:ascii="Helvetica" w:eastAsia="Calibri" w:hAnsi="Helvetica" w:cs="Helvetica"/>
                                        <w:color w:val="202020"/>
                                        <w:sz w:val="20"/>
                                        <w:szCs w:val="20"/>
                                      </w:rPr>
                                      <w:br/>
                                      <w:t>“The vast majority of cover crop users report the most important benefits of cover crops to be improved overall soil health, reduced erosion and increased soil organic matter,” says Chad Watts, executive director of CTIC. “Though the yield benefits, profitability and resilience provided by cover crops are widely recognized by the farmers in the survey, the benefits they highlight most are long-term soil health impacts.”</w:t>
                                    </w:r>
                                    <w:r w:rsidRPr="00D752EF">
                                      <w:rPr>
                                        <w:rFonts w:ascii="Helvetica" w:eastAsia="Calibri" w:hAnsi="Helvetica" w:cs="Helvetica"/>
                                        <w:color w:val="202020"/>
                                        <w:sz w:val="20"/>
                                        <w:szCs w:val="20"/>
                                      </w:rPr>
                                      <w:br/>
                                      <w:t>          </w:t>
                                    </w:r>
                                    <w:r w:rsidRPr="00D752EF">
                                      <w:rPr>
                                        <w:rFonts w:ascii="Helvetica" w:eastAsia="Calibri" w:hAnsi="Helvetica" w:cs="Helvetica"/>
                                        <w:color w:val="202020"/>
                                        <w:sz w:val="20"/>
                                        <w:szCs w:val="20"/>
                                      </w:rPr>
                                      <w:br/>
                                      <w:t>Other highlights of the survey include:</w:t>
                                    </w:r>
                                  </w:p>
                                  <w:p w:rsidR="00D752EF" w:rsidRPr="00D752EF" w:rsidRDefault="00D752EF" w:rsidP="00D752EF">
                                    <w:pPr>
                                      <w:numPr>
                                        <w:ilvl w:val="0"/>
                                        <w:numId w:val="1"/>
                                      </w:numPr>
                                      <w:spacing w:before="100" w:beforeAutospacing="1" w:after="100" w:afterAutospacing="1" w:line="360" w:lineRule="auto"/>
                                      <w:rPr>
                                        <w:rFonts w:ascii="Helvetica" w:eastAsia="Times New Roman" w:hAnsi="Helvetica" w:cs="Helvetica"/>
                                        <w:color w:val="202020"/>
                                        <w:sz w:val="20"/>
                                        <w:szCs w:val="20"/>
                                      </w:rPr>
                                    </w:pPr>
                                    <w:r w:rsidRPr="00D752EF">
                                      <w:rPr>
                                        <w:rFonts w:ascii="Helvetica" w:eastAsia="Times New Roman" w:hAnsi="Helvetica" w:cs="Helvetica"/>
                                        <w:color w:val="202020"/>
                                        <w:sz w:val="20"/>
                                        <w:szCs w:val="20"/>
                                      </w:rPr>
                                      <w:t>Cereal rye was the top species of cover crop planted by survey respondents, planted by 82% of the group and covering 187,044 acres among the participating farmers.</w:t>
                                    </w:r>
                                  </w:p>
                                  <w:p w:rsidR="00D752EF" w:rsidRPr="00D752EF" w:rsidRDefault="00D752EF" w:rsidP="00D752EF">
                                    <w:pPr>
                                      <w:numPr>
                                        <w:ilvl w:val="0"/>
                                        <w:numId w:val="1"/>
                                      </w:numPr>
                                      <w:spacing w:before="100" w:beforeAutospacing="1" w:after="100" w:afterAutospacing="1" w:line="360" w:lineRule="auto"/>
                                      <w:rPr>
                                        <w:rFonts w:ascii="Helvetica" w:eastAsia="Times New Roman" w:hAnsi="Helvetica" w:cs="Helvetica"/>
                                        <w:color w:val="202020"/>
                                        <w:sz w:val="20"/>
                                        <w:szCs w:val="20"/>
                                      </w:rPr>
                                    </w:pPr>
                                    <w:r w:rsidRPr="00D752EF">
                                      <w:rPr>
                                        <w:rFonts w:ascii="Helvetica" w:eastAsia="Times New Roman" w:hAnsi="Helvetica" w:cs="Helvetica"/>
                                        <w:color w:val="202020"/>
                                        <w:sz w:val="20"/>
                                        <w:szCs w:val="20"/>
                                      </w:rPr>
                                      <w:t>A majority of respondents—52%—reported that their soybean yields always or often rise after a cover crop of cereal rye; less than 4 percent said their yields sometimes or always decreased after rye.</w:t>
                                    </w:r>
                                  </w:p>
                                  <w:p w:rsidR="00D752EF" w:rsidRPr="00D752EF" w:rsidRDefault="00D752EF" w:rsidP="00D752EF">
                                    <w:pPr>
                                      <w:numPr>
                                        <w:ilvl w:val="0"/>
                                        <w:numId w:val="1"/>
                                      </w:numPr>
                                      <w:spacing w:before="100" w:beforeAutospacing="1" w:after="100" w:afterAutospacing="1" w:line="360" w:lineRule="auto"/>
                                      <w:rPr>
                                        <w:rFonts w:ascii="Helvetica" w:eastAsia="Times New Roman" w:hAnsi="Helvetica" w:cs="Helvetica"/>
                                        <w:color w:val="202020"/>
                                        <w:sz w:val="20"/>
                                        <w:szCs w:val="20"/>
                                      </w:rPr>
                                    </w:pPr>
                                    <w:r w:rsidRPr="00D752EF">
                                      <w:rPr>
                                        <w:rFonts w:ascii="Helvetica" w:eastAsia="Times New Roman" w:hAnsi="Helvetica" w:cs="Helvetica"/>
                                        <w:color w:val="202020"/>
                                        <w:sz w:val="20"/>
                                        <w:szCs w:val="20"/>
                                      </w:rPr>
                                      <w:t>Cereal rye cover crops also proved helpful in other ways, with 82% of farmers reporting that the rye helped with weed management—including 26% who found it also helped with tough herbicide-resistant weeds.</w:t>
                                    </w:r>
                                  </w:p>
                                  <w:p w:rsidR="00D752EF" w:rsidRPr="00D752EF" w:rsidRDefault="00D752EF" w:rsidP="00D752EF">
                                    <w:pPr>
                                      <w:numPr>
                                        <w:ilvl w:val="0"/>
                                        <w:numId w:val="1"/>
                                      </w:numPr>
                                      <w:spacing w:before="100" w:beforeAutospacing="1" w:after="100" w:afterAutospacing="1" w:line="360" w:lineRule="auto"/>
                                      <w:rPr>
                                        <w:rFonts w:ascii="Helvetica" w:eastAsia="Times New Roman" w:hAnsi="Helvetica" w:cs="Helvetica"/>
                                        <w:color w:val="202020"/>
                                        <w:sz w:val="20"/>
                                        <w:szCs w:val="20"/>
                                      </w:rPr>
                                    </w:pPr>
                                    <w:r w:rsidRPr="00D752EF">
                                      <w:rPr>
                                        <w:rFonts w:ascii="Helvetica" w:eastAsia="Times New Roman" w:hAnsi="Helvetica" w:cs="Helvetica"/>
                                        <w:color w:val="202020"/>
                                        <w:sz w:val="20"/>
                                        <w:szCs w:val="20"/>
                                      </w:rPr>
                                      <w:t>Crimson clover was the most widely planted legume cover crop, while oilseed radish is the most common Brassica (mustard-type) cover crop species.</w:t>
                                    </w:r>
                                  </w:p>
                                  <w:p w:rsidR="00D752EF" w:rsidRPr="00D752EF" w:rsidRDefault="00D752EF" w:rsidP="00D752EF">
                                    <w:pPr>
                                      <w:numPr>
                                        <w:ilvl w:val="0"/>
                                        <w:numId w:val="1"/>
                                      </w:numPr>
                                      <w:spacing w:before="100" w:beforeAutospacing="1" w:after="100" w:afterAutospacing="1" w:line="360" w:lineRule="auto"/>
                                      <w:rPr>
                                        <w:rFonts w:ascii="Helvetica" w:eastAsia="Times New Roman" w:hAnsi="Helvetica" w:cs="Helvetica"/>
                                        <w:color w:val="202020"/>
                                        <w:sz w:val="20"/>
                                        <w:szCs w:val="20"/>
                                      </w:rPr>
                                    </w:pPr>
                                    <w:r w:rsidRPr="00D752EF">
                                      <w:rPr>
                                        <w:rFonts w:ascii="Helvetica" w:eastAsia="Times New Roman" w:hAnsi="Helvetica" w:cs="Helvetica"/>
                                        <w:color w:val="202020"/>
                                        <w:sz w:val="20"/>
                                        <w:szCs w:val="20"/>
                                      </w:rPr>
                                      <w:t>Farmers were asked what would help motivate other farmers to adopt cover crops or increase their use; the top-ranked response was tax credits, followed by getting a discount on their annual crop insurance premium payment.</w:t>
                                    </w:r>
                                  </w:p>
                                  <w:p w:rsidR="00D752EF" w:rsidRPr="00D752EF" w:rsidRDefault="00D752EF" w:rsidP="00D752EF">
                                    <w:pPr>
                                      <w:numPr>
                                        <w:ilvl w:val="0"/>
                                        <w:numId w:val="1"/>
                                      </w:numPr>
                                      <w:spacing w:before="100" w:beforeAutospacing="1" w:after="100" w:afterAutospacing="1" w:line="360" w:lineRule="auto"/>
                                      <w:rPr>
                                        <w:rFonts w:ascii="Helvetica" w:eastAsia="Times New Roman" w:hAnsi="Helvetica" w:cs="Helvetica"/>
                                        <w:color w:val="202020"/>
                                        <w:sz w:val="20"/>
                                        <w:szCs w:val="20"/>
                                      </w:rPr>
                                    </w:pPr>
                                    <w:r w:rsidRPr="00D752EF">
                                      <w:rPr>
                                        <w:rFonts w:ascii="Helvetica" w:eastAsia="Times New Roman" w:hAnsi="Helvetica" w:cs="Helvetica"/>
                                        <w:color w:val="202020"/>
                                        <w:sz w:val="20"/>
                                        <w:szCs w:val="20"/>
                                      </w:rPr>
                                      <w:t>Cover crop mixes are gaining popularity. In all, blends of species were planted on nearly as many acres as cereal rye among survey respondents. Most—61%—said they designed their own blends, while 22% rely on advice from their cover crop seed salesperson or crop consultant for advice on mixing species.</w:t>
                                    </w:r>
                                  </w:p>
                                  <w:p w:rsidR="00D752EF" w:rsidRPr="00D752EF" w:rsidRDefault="00D752EF" w:rsidP="00D752EF">
                                    <w:pPr>
                                      <w:spacing w:before="150" w:after="150" w:line="360" w:lineRule="auto"/>
                                      <w:rPr>
                                        <w:rFonts w:ascii="Helvetica" w:eastAsia="Calibri" w:hAnsi="Helvetica" w:cs="Helvetica"/>
                                        <w:color w:val="202020"/>
                                        <w:sz w:val="20"/>
                                        <w:szCs w:val="20"/>
                                      </w:rPr>
                                    </w:pPr>
                                    <w:r w:rsidRPr="00D752EF">
                                      <w:rPr>
                                        <w:rFonts w:ascii="Helvetica" w:eastAsia="Calibri" w:hAnsi="Helvetica" w:cs="Helvetica"/>
                                        <w:color w:val="202020"/>
                                        <w:sz w:val="20"/>
                                        <w:szCs w:val="20"/>
                                      </w:rPr>
                                      <w:t xml:space="preserve">“This year’s cover crop survey brought more insight and new questions to the four-year survey effort,” says Andrew </w:t>
                                    </w:r>
                                    <w:proofErr w:type="spellStart"/>
                                    <w:r w:rsidRPr="00D752EF">
                                      <w:rPr>
                                        <w:rFonts w:ascii="Helvetica" w:eastAsia="Calibri" w:hAnsi="Helvetica" w:cs="Helvetica"/>
                                        <w:color w:val="202020"/>
                                        <w:sz w:val="20"/>
                                        <w:szCs w:val="20"/>
                                      </w:rPr>
                                      <w:t>LaVigne</w:t>
                                    </w:r>
                                    <w:proofErr w:type="spellEnd"/>
                                    <w:r w:rsidRPr="00D752EF">
                                      <w:rPr>
                                        <w:rFonts w:ascii="Helvetica" w:eastAsia="Calibri" w:hAnsi="Helvetica" w:cs="Helvetica"/>
                                        <w:color w:val="202020"/>
                                        <w:sz w:val="20"/>
                                        <w:szCs w:val="20"/>
                                      </w:rPr>
                                      <w:t>, president &amp; CEO of ASTA. “Understanding the opinions, influences and practices such as what cover crop users find important when they purchase seed will be extremely informative for crop advisors, seed companies, policymakers, agricultural retailers and other people interested in increasing the adoption and success of cover crops.”</w:t>
                                    </w:r>
                                    <w:r w:rsidRPr="00D752EF">
                                      <w:rPr>
                                        <w:rFonts w:ascii="Helvetica" w:eastAsia="Calibri" w:hAnsi="Helvetica" w:cs="Helvetica"/>
                                        <w:color w:val="202020"/>
                                        <w:sz w:val="20"/>
                                        <w:szCs w:val="20"/>
                                      </w:rPr>
                                      <w:br/>
                                    </w:r>
                                    <w:r w:rsidRPr="00D752EF">
                                      <w:rPr>
                                        <w:rFonts w:ascii="Helvetica" w:eastAsia="Calibri" w:hAnsi="Helvetica" w:cs="Helvetica"/>
                                        <w:color w:val="202020"/>
                                        <w:sz w:val="20"/>
                                        <w:szCs w:val="20"/>
                                      </w:rPr>
                                      <w:br/>
                                      <w:t xml:space="preserve">SARE, CTIC and ASTA received support for the project from Penton Farm Progress magazines, Purdue University, Albert Lea Seed, CHS, The CISCO Companies, La Crosse Seed, Mountain View Seeds, Allied Seed, Curtis &amp; Curtis Inc., Grassland Oregon, Justin Seed and </w:t>
                                    </w:r>
                                    <w:proofErr w:type="spellStart"/>
                                    <w:r w:rsidRPr="00D752EF">
                                      <w:rPr>
                                        <w:rFonts w:ascii="Helvetica" w:eastAsia="Calibri" w:hAnsi="Helvetica" w:cs="Helvetica"/>
                                        <w:color w:val="202020"/>
                                        <w:sz w:val="20"/>
                                        <w:szCs w:val="20"/>
                                      </w:rPr>
                                      <w:t>Seedway</w:t>
                                    </w:r>
                                    <w:proofErr w:type="spellEnd"/>
                                    <w:r w:rsidRPr="00D752EF">
                                      <w:rPr>
                                        <w:rFonts w:ascii="Helvetica" w:eastAsia="Calibri" w:hAnsi="Helvetica" w:cs="Helvetica"/>
                                        <w:color w:val="202020"/>
                                        <w:sz w:val="20"/>
                                        <w:szCs w:val="20"/>
                                      </w:rPr>
                                      <w:t>.</w:t>
                                    </w:r>
                                    <w:r w:rsidRPr="00D752EF">
                                      <w:rPr>
                                        <w:rFonts w:ascii="Helvetica" w:eastAsia="Calibri" w:hAnsi="Helvetica" w:cs="Helvetica"/>
                                        <w:color w:val="202020"/>
                                        <w:sz w:val="20"/>
                                        <w:szCs w:val="20"/>
                                      </w:rPr>
                                      <w:br/>
                                    </w:r>
                                    <w:r w:rsidRPr="00D752EF">
                                      <w:rPr>
                                        <w:rFonts w:ascii="Helvetica" w:eastAsia="Calibri" w:hAnsi="Helvetica" w:cs="Helvetica"/>
                                        <w:color w:val="202020"/>
                                        <w:sz w:val="20"/>
                                        <w:szCs w:val="20"/>
                                      </w:rPr>
                                      <w:br/>
                                      <w:t xml:space="preserve">The full report is available online at </w:t>
                                    </w:r>
                                    <w:hyperlink r:id="rId8" w:tgtFrame="_blank" w:history="1">
                                      <w:r w:rsidRPr="00D752EF">
                                        <w:rPr>
                                          <w:rFonts w:ascii="Helvetica" w:eastAsia="Calibri" w:hAnsi="Helvetica" w:cs="Helvetica"/>
                                          <w:color w:val="2BAADF"/>
                                          <w:sz w:val="20"/>
                                          <w:szCs w:val="20"/>
                                          <w:u w:val="single"/>
                                        </w:rPr>
                                        <w:t>www.ctic.org/Cover Crops</w:t>
                                      </w:r>
                                    </w:hyperlink>
                                    <w:r w:rsidRPr="00D752EF">
                                      <w:rPr>
                                        <w:rFonts w:ascii="Helvetica" w:eastAsia="Calibri" w:hAnsi="Helvetica" w:cs="Helvetica"/>
                                        <w:color w:val="202020"/>
                                        <w:sz w:val="20"/>
                                        <w:szCs w:val="20"/>
                                      </w:rPr>
                                      <w:t>.</w:t>
                                    </w:r>
                                  </w:p>
                                  <w:p w:rsidR="00D752EF" w:rsidRPr="00D752EF" w:rsidRDefault="00D752EF" w:rsidP="00D752EF">
                                    <w:pPr>
                                      <w:spacing w:after="0" w:line="360" w:lineRule="auto"/>
                                      <w:jc w:val="center"/>
                                      <w:rPr>
                                        <w:rFonts w:ascii="Helvetica" w:eastAsia="Calibri" w:hAnsi="Helvetica" w:cs="Helvetica"/>
                                        <w:color w:val="202020"/>
                                        <w:sz w:val="20"/>
                                        <w:szCs w:val="20"/>
                                      </w:rPr>
                                    </w:pPr>
                                    <w:r w:rsidRPr="00D752EF">
                                      <w:rPr>
                                        <w:rFonts w:ascii="Helvetica" w:eastAsia="Calibri" w:hAnsi="Helvetica" w:cs="Helvetica"/>
                                        <w:color w:val="202020"/>
                                        <w:sz w:val="20"/>
                                        <w:szCs w:val="20"/>
                                      </w:rPr>
                                      <w:t>###</w:t>
                                    </w:r>
                                  </w:p>
                                </w:tc>
                              </w:tr>
                            </w:tbl>
                            <w:p w:rsidR="00D752EF" w:rsidRPr="00D752EF" w:rsidRDefault="00D752EF" w:rsidP="00D752EF">
                              <w:pPr>
                                <w:spacing w:after="0" w:line="240" w:lineRule="auto"/>
                                <w:rPr>
                                  <w:rFonts w:ascii="Times New Roman" w:eastAsia="Times New Roman" w:hAnsi="Times New Roman" w:cs="Times New Roman"/>
                                  <w:sz w:val="20"/>
                                  <w:szCs w:val="20"/>
                                </w:rPr>
                              </w:pPr>
                            </w:p>
                          </w:tc>
                        </w:tr>
                      </w:tbl>
                      <w:p w:rsidR="00D752EF" w:rsidRPr="00D752EF" w:rsidRDefault="00D752EF" w:rsidP="00D752EF">
                        <w:pPr>
                          <w:framePr w:hSpace="45" w:wrap="around" w:vAnchor="text" w:hAnchor="text"/>
                          <w:spacing w:after="0" w:line="240" w:lineRule="auto"/>
                          <w:rPr>
                            <w:rFonts w:ascii="Times New Roman" w:eastAsia="Times New Roman" w:hAnsi="Times New Roman" w:cs="Times New Roman"/>
                            <w:sz w:val="20"/>
                            <w:szCs w:val="20"/>
                          </w:rPr>
                        </w:pPr>
                      </w:p>
                    </w:tc>
                  </w:tr>
                </w:tbl>
                <w:p w:rsidR="00D752EF" w:rsidRPr="00D752EF" w:rsidRDefault="00D752EF" w:rsidP="00D752EF">
                  <w:pPr>
                    <w:framePr w:hSpace="45" w:wrap="around" w:vAnchor="text" w:hAnchor="text"/>
                    <w:spacing w:after="0" w:line="240" w:lineRule="auto"/>
                    <w:rPr>
                      <w:rFonts w:ascii="Times New Roman" w:eastAsia="Times New Roman" w:hAnsi="Times New Roman" w:cs="Times New Roman"/>
                      <w:sz w:val="20"/>
                      <w:szCs w:val="20"/>
                    </w:rPr>
                  </w:pPr>
                </w:p>
              </w:tc>
            </w:tr>
            <w:tr w:rsidR="00D752EF" w:rsidRPr="00D752EF" w:rsidTr="00D752EF">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11682"/>
                  </w:tblGrid>
                  <w:tr w:rsidR="00D752EF" w:rsidRPr="00D752EF">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11412"/>
                        </w:tblGrid>
                        <w:tr w:rsidR="00D752EF" w:rsidRPr="00D752EF">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11142"/>
                              </w:tblGrid>
                              <w:tr w:rsidR="00D752EF" w:rsidRPr="00D752EF">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D752EF" w:rsidRPr="00D752EF">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D752EF" w:rsidRPr="00D752EF">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752EF" w:rsidRPr="00D752E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752EF" w:rsidRPr="00D752E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752EF" w:rsidRPr="00D752EF">
                                                              <w:tc>
                                                                <w:tcPr>
                                                                  <w:tcW w:w="360" w:type="dxa"/>
                                                                  <w:vAlign w:val="center"/>
                                                                  <w:hideMark/>
                                                                </w:tcPr>
                                                                <w:p w:rsidR="00D752EF" w:rsidRPr="00D752EF" w:rsidRDefault="00D752EF" w:rsidP="00D752EF">
                                                                  <w:pPr>
                                                                    <w:spacing w:after="0" w:line="240" w:lineRule="auto"/>
                                                                    <w:jc w:val="center"/>
                                                                    <w:rPr>
                                                                      <w:rFonts w:ascii="Times New Roman" w:eastAsia="Calibri" w:hAnsi="Times New Roman" w:cs="Times New Roman"/>
                                                                      <w:sz w:val="24"/>
                                                                      <w:szCs w:val="24"/>
                                                                    </w:rPr>
                                                                  </w:pPr>
                                                                  <w:r w:rsidRPr="00D752EF">
                                                                    <w:rPr>
                                                                      <w:rFonts w:ascii="Times New Roman" w:eastAsia="Calibri" w:hAnsi="Times New Roman" w:cs="Times New Roman"/>
                                                                      <w:noProof/>
                                                                      <w:color w:val="0000FF"/>
                                                                      <w:sz w:val="24"/>
                                                                      <w:szCs w:val="24"/>
                                                                    </w:rPr>
                                                                    <w:lastRenderedPageBreak/>
                                                                    <w:drawing>
                                                                      <wp:inline distT="0" distB="0" distL="0" distR="0" wp14:anchorId="770C674D" wp14:editId="1D3CD9C1">
                                                                        <wp:extent cx="228600" cy="228600"/>
                                                                        <wp:effectExtent l="0" t="0" r="0" b="0"/>
                                                                        <wp:docPr id="3" name="Picture 3" descr="https://cdn-images.mailchimp.com/icons/social-block-v2/color-twitter-48.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images.mailchimp.com/icons/social-block-v2/color-twitter-4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752EF" w:rsidRPr="00D752EF" w:rsidRDefault="00D752EF" w:rsidP="00D752EF">
                                                            <w:pPr>
                                                              <w:framePr w:hSpace="45" w:wrap="around" w:vAnchor="text" w:hAnchor="text"/>
                                                              <w:spacing w:after="0" w:line="240" w:lineRule="auto"/>
                                                              <w:rPr>
                                                                <w:rFonts w:ascii="Times New Roman" w:eastAsia="Times New Roman" w:hAnsi="Times New Roman" w:cs="Times New Roman"/>
                                                                <w:sz w:val="20"/>
                                                                <w:szCs w:val="20"/>
                                                              </w:rPr>
                                                            </w:pPr>
                                                          </w:p>
                                                        </w:tc>
                                                      </w:tr>
                                                    </w:tbl>
                                                    <w:p w:rsidR="00D752EF" w:rsidRPr="00D752EF" w:rsidRDefault="00D752EF" w:rsidP="00D752EF">
                                                      <w:pPr>
                                                        <w:spacing w:after="0" w:line="240" w:lineRule="auto"/>
                                                        <w:rPr>
                                                          <w:rFonts w:ascii="Times New Roman" w:eastAsia="Times New Roman" w:hAnsi="Times New Roman" w:cs="Times New Roman"/>
                                                          <w:sz w:val="20"/>
                                                          <w:szCs w:val="20"/>
                                                        </w:rPr>
                                                      </w:pPr>
                                                    </w:p>
                                                  </w:tc>
                                                </w:tr>
                                              </w:tbl>
                                              <w:p w:rsidR="00D752EF" w:rsidRPr="00D752EF" w:rsidRDefault="00D752EF" w:rsidP="00D752EF">
                                                <w:pPr>
                                                  <w:framePr w:hSpace="45" w:wrap="around" w:vAnchor="text" w:hAnchor="text"/>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752EF" w:rsidRPr="00D752E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752EF" w:rsidRPr="00D752E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752EF" w:rsidRPr="00D752EF">
                                                              <w:tc>
                                                                <w:tcPr>
                                                                  <w:tcW w:w="360" w:type="dxa"/>
                                                                  <w:vAlign w:val="center"/>
                                                                  <w:hideMark/>
                                                                </w:tcPr>
                                                                <w:p w:rsidR="00D752EF" w:rsidRPr="00D752EF" w:rsidRDefault="00D752EF" w:rsidP="00D752EF">
                                                                  <w:pPr>
                                                                    <w:spacing w:after="0" w:line="240" w:lineRule="auto"/>
                                                                    <w:jc w:val="center"/>
                                                                    <w:rPr>
                                                                      <w:rFonts w:ascii="Times New Roman" w:eastAsia="Calibri" w:hAnsi="Times New Roman" w:cs="Times New Roman"/>
                                                                      <w:sz w:val="24"/>
                                                                      <w:szCs w:val="24"/>
                                                                    </w:rPr>
                                                                  </w:pPr>
                                                                  <w:r w:rsidRPr="00D752EF">
                                                                    <w:rPr>
                                                                      <w:rFonts w:ascii="Times New Roman" w:eastAsia="Calibri" w:hAnsi="Times New Roman" w:cs="Times New Roman"/>
                                                                      <w:noProof/>
                                                                      <w:color w:val="0000FF"/>
                                                                      <w:sz w:val="24"/>
                                                                      <w:szCs w:val="24"/>
                                                                    </w:rPr>
                                                                    <w:drawing>
                                                                      <wp:inline distT="0" distB="0" distL="0" distR="0" wp14:anchorId="31E3E8F6" wp14:editId="048595E8">
                                                                        <wp:extent cx="228600" cy="228600"/>
                                                                        <wp:effectExtent l="0" t="0" r="0" b="0"/>
                                                                        <wp:docPr id="4" name="Picture 4" descr="https://cdn-images.mailchimp.com/icons/social-block-v2/color-facebook-48.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images.mailchimp.com/icons/social-block-v2/color-facebook-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752EF" w:rsidRPr="00D752EF" w:rsidRDefault="00D752EF" w:rsidP="00D752EF">
                                                            <w:pPr>
                                                              <w:framePr w:hSpace="45" w:wrap="around" w:vAnchor="text" w:hAnchor="text"/>
                                                              <w:spacing w:after="0" w:line="240" w:lineRule="auto"/>
                                                              <w:rPr>
                                                                <w:rFonts w:ascii="Times New Roman" w:eastAsia="Times New Roman" w:hAnsi="Times New Roman" w:cs="Times New Roman"/>
                                                                <w:sz w:val="20"/>
                                                                <w:szCs w:val="20"/>
                                                              </w:rPr>
                                                            </w:pPr>
                                                          </w:p>
                                                        </w:tc>
                                                      </w:tr>
                                                    </w:tbl>
                                                    <w:p w:rsidR="00D752EF" w:rsidRPr="00D752EF" w:rsidRDefault="00D752EF" w:rsidP="00D752EF">
                                                      <w:pPr>
                                                        <w:spacing w:after="0" w:line="240" w:lineRule="auto"/>
                                                        <w:rPr>
                                                          <w:rFonts w:ascii="Times New Roman" w:eastAsia="Times New Roman" w:hAnsi="Times New Roman" w:cs="Times New Roman"/>
                                                          <w:sz w:val="20"/>
                                                          <w:szCs w:val="20"/>
                                                        </w:rPr>
                                                      </w:pPr>
                                                    </w:p>
                                                  </w:tc>
                                                </w:tr>
                                              </w:tbl>
                                              <w:p w:rsidR="00D752EF" w:rsidRPr="00D752EF" w:rsidRDefault="00D752EF" w:rsidP="00D752EF">
                                                <w:pPr>
                                                  <w:framePr w:hSpace="45" w:wrap="around" w:vAnchor="text" w:hAnchor="text"/>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D752EF" w:rsidRPr="00D752EF">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D752EF" w:rsidRPr="00D752E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752EF" w:rsidRPr="00D752EF">
                                                              <w:tc>
                                                                <w:tcPr>
                                                                  <w:tcW w:w="360" w:type="dxa"/>
                                                                  <w:vAlign w:val="center"/>
                                                                  <w:hideMark/>
                                                                </w:tcPr>
                                                                <w:p w:rsidR="00D752EF" w:rsidRPr="00D752EF" w:rsidRDefault="00D752EF" w:rsidP="00D752EF">
                                                                  <w:pPr>
                                                                    <w:spacing w:after="0" w:line="240" w:lineRule="auto"/>
                                                                    <w:jc w:val="center"/>
                                                                    <w:rPr>
                                                                      <w:rFonts w:ascii="Times New Roman" w:eastAsia="Calibri" w:hAnsi="Times New Roman" w:cs="Times New Roman"/>
                                                                      <w:sz w:val="24"/>
                                                                      <w:szCs w:val="24"/>
                                                                    </w:rPr>
                                                                  </w:pPr>
                                                                  <w:r w:rsidRPr="00D752EF">
                                                                    <w:rPr>
                                                                      <w:rFonts w:ascii="Times New Roman" w:eastAsia="Calibri" w:hAnsi="Times New Roman" w:cs="Times New Roman"/>
                                                                      <w:noProof/>
                                                                      <w:color w:val="0000FF"/>
                                                                      <w:sz w:val="24"/>
                                                                      <w:szCs w:val="24"/>
                                                                    </w:rPr>
                                                                    <w:drawing>
                                                                      <wp:inline distT="0" distB="0" distL="0" distR="0" wp14:anchorId="0F6D061A" wp14:editId="5E3CE831">
                                                                        <wp:extent cx="228600" cy="228600"/>
                                                                        <wp:effectExtent l="0" t="0" r="0" b="0"/>
                                                                        <wp:docPr id="5" name="Picture 5" descr="https://cdn-images.mailchimp.com/icons/social-block-v2/color-link-48.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images.mailchimp.com/icons/social-block-v2/color-link-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752EF" w:rsidRPr="00D752EF" w:rsidRDefault="00D752EF" w:rsidP="00D752EF">
                                                            <w:pPr>
                                                              <w:framePr w:hSpace="45" w:wrap="around" w:vAnchor="text" w:hAnchor="text"/>
                                                              <w:spacing w:after="0" w:line="240" w:lineRule="auto"/>
                                                              <w:rPr>
                                                                <w:rFonts w:ascii="Times New Roman" w:eastAsia="Times New Roman" w:hAnsi="Times New Roman" w:cs="Times New Roman"/>
                                                                <w:sz w:val="20"/>
                                                                <w:szCs w:val="20"/>
                                                              </w:rPr>
                                                            </w:pPr>
                                                          </w:p>
                                                        </w:tc>
                                                      </w:tr>
                                                    </w:tbl>
                                                    <w:p w:rsidR="00D752EF" w:rsidRPr="00D752EF" w:rsidRDefault="00D752EF" w:rsidP="00D752EF">
                                                      <w:pPr>
                                                        <w:spacing w:after="0" w:line="240" w:lineRule="auto"/>
                                                        <w:rPr>
                                                          <w:rFonts w:ascii="Times New Roman" w:eastAsia="Times New Roman" w:hAnsi="Times New Roman" w:cs="Times New Roman"/>
                                                          <w:sz w:val="20"/>
                                                          <w:szCs w:val="20"/>
                                                        </w:rPr>
                                                      </w:pPr>
                                                    </w:p>
                                                  </w:tc>
                                                </w:tr>
                                              </w:tbl>
                                              <w:p w:rsidR="00D752EF" w:rsidRPr="00D752EF" w:rsidRDefault="00D752EF" w:rsidP="00D752EF">
                                                <w:pPr>
                                                  <w:framePr w:hSpace="45" w:wrap="around" w:vAnchor="text" w:hAnchor="text"/>
                                                  <w:spacing w:after="0" w:line="240" w:lineRule="auto"/>
                                                  <w:rPr>
                                                    <w:rFonts w:ascii="Times New Roman" w:eastAsia="Times New Roman" w:hAnsi="Times New Roman" w:cs="Times New Roman"/>
                                                    <w:sz w:val="20"/>
                                                    <w:szCs w:val="20"/>
                                                  </w:rPr>
                                                </w:pPr>
                                              </w:p>
                                            </w:tc>
                                          </w:tr>
                                        </w:tbl>
                                        <w:p w:rsidR="00D752EF" w:rsidRPr="00D752EF" w:rsidRDefault="00D752EF" w:rsidP="00D752EF">
                                          <w:pPr>
                                            <w:framePr w:hSpace="45" w:wrap="around" w:vAnchor="text" w:hAnchor="text"/>
                                            <w:spacing w:after="0" w:line="240" w:lineRule="auto"/>
                                            <w:jc w:val="center"/>
                                            <w:rPr>
                                              <w:rFonts w:ascii="Times New Roman" w:eastAsia="Times New Roman" w:hAnsi="Times New Roman" w:cs="Times New Roman"/>
                                              <w:sz w:val="20"/>
                                              <w:szCs w:val="20"/>
                                            </w:rPr>
                                          </w:pPr>
                                        </w:p>
                                      </w:tc>
                                    </w:tr>
                                  </w:tbl>
                                  <w:p w:rsidR="00D752EF" w:rsidRPr="00D752EF" w:rsidRDefault="00D752EF" w:rsidP="00D752EF">
                                    <w:pPr>
                                      <w:framePr w:hSpace="45" w:wrap="around" w:vAnchor="text" w:hAnchor="text"/>
                                      <w:spacing w:after="0" w:line="240" w:lineRule="auto"/>
                                      <w:jc w:val="center"/>
                                      <w:rPr>
                                        <w:rFonts w:ascii="Times New Roman" w:eastAsia="Times New Roman" w:hAnsi="Times New Roman" w:cs="Times New Roman"/>
                                        <w:sz w:val="20"/>
                                        <w:szCs w:val="20"/>
                                      </w:rPr>
                                    </w:pPr>
                                  </w:p>
                                </w:tc>
                              </w:tr>
                            </w:tbl>
                            <w:p w:rsidR="00D752EF" w:rsidRPr="00D752EF" w:rsidRDefault="00D752EF" w:rsidP="00D752EF">
                              <w:pPr>
                                <w:framePr w:hSpace="45" w:wrap="around" w:vAnchor="text" w:hAnchor="text"/>
                                <w:spacing w:after="0" w:line="240" w:lineRule="auto"/>
                                <w:jc w:val="center"/>
                                <w:rPr>
                                  <w:rFonts w:ascii="Times New Roman" w:eastAsia="Times New Roman" w:hAnsi="Times New Roman" w:cs="Times New Roman"/>
                                  <w:sz w:val="20"/>
                                  <w:szCs w:val="20"/>
                                </w:rPr>
                              </w:pPr>
                            </w:p>
                          </w:tc>
                        </w:tr>
                      </w:tbl>
                      <w:p w:rsidR="00D752EF" w:rsidRPr="00D752EF" w:rsidRDefault="00D752EF" w:rsidP="00D752EF">
                        <w:pPr>
                          <w:framePr w:hSpace="45" w:wrap="around" w:vAnchor="text" w:hAnchor="text"/>
                          <w:spacing w:after="0" w:line="240" w:lineRule="auto"/>
                          <w:jc w:val="center"/>
                          <w:rPr>
                            <w:rFonts w:ascii="Times New Roman" w:eastAsia="Times New Roman" w:hAnsi="Times New Roman" w:cs="Times New Roman"/>
                            <w:sz w:val="20"/>
                            <w:szCs w:val="20"/>
                          </w:rPr>
                        </w:pPr>
                      </w:p>
                    </w:tc>
                  </w:tr>
                </w:tbl>
                <w:p w:rsidR="00D752EF" w:rsidRPr="00D752EF" w:rsidRDefault="00D752EF" w:rsidP="00D752EF">
                  <w:pPr>
                    <w:framePr w:hSpace="45" w:wrap="around" w:vAnchor="text" w:hAnchor="text"/>
                    <w:spacing w:after="0" w:line="240" w:lineRule="auto"/>
                    <w:rPr>
                      <w:rFonts w:ascii="Times New Roman" w:eastAsia="Calibri"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11682"/>
                  </w:tblGrid>
                  <w:tr w:rsidR="00D752EF" w:rsidRPr="00D752EF">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11142"/>
                        </w:tblGrid>
                        <w:tr w:rsidR="00D752EF" w:rsidRPr="00D752EF">
                          <w:tc>
                            <w:tcPr>
                              <w:tcW w:w="0" w:type="auto"/>
                              <w:tcBorders>
                                <w:top w:val="single" w:sz="12" w:space="0" w:color="EEEEEE"/>
                                <w:left w:val="nil"/>
                                <w:bottom w:val="nil"/>
                                <w:right w:val="nil"/>
                              </w:tcBorders>
                              <w:vAlign w:val="center"/>
                              <w:hideMark/>
                            </w:tcPr>
                            <w:p w:rsidR="00D752EF" w:rsidRPr="00D752EF" w:rsidRDefault="00D752EF" w:rsidP="00D752EF">
                              <w:pPr>
                                <w:framePr w:hSpace="45" w:wrap="around" w:vAnchor="text" w:hAnchor="text"/>
                                <w:spacing w:after="0" w:line="240" w:lineRule="auto"/>
                                <w:rPr>
                                  <w:rFonts w:ascii="Times New Roman" w:eastAsia="Calibri" w:hAnsi="Times New Roman" w:cs="Times New Roman"/>
                                  <w:sz w:val="24"/>
                                  <w:szCs w:val="24"/>
                                </w:rPr>
                              </w:pPr>
                            </w:p>
                          </w:tc>
                        </w:tr>
                      </w:tbl>
                      <w:p w:rsidR="00D752EF" w:rsidRPr="00D752EF" w:rsidRDefault="00D752EF" w:rsidP="00D752EF">
                        <w:pPr>
                          <w:framePr w:hSpace="45" w:wrap="around" w:vAnchor="text" w:hAnchor="text"/>
                          <w:spacing w:after="0" w:line="240" w:lineRule="auto"/>
                          <w:rPr>
                            <w:rFonts w:ascii="Times New Roman" w:eastAsia="Times New Roman" w:hAnsi="Times New Roman" w:cs="Times New Roman"/>
                            <w:sz w:val="20"/>
                            <w:szCs w:val="20"/>
                          </w:rPr>
                        </w:pPr>
                      </w:p>
                    </w:tc>
                  </w:tr>
                </w:tbl>
                <w:p w:rsidR="00D752EF" w:rsidRPr="00D752EF" w:rsidRDefault="00D752EF" w:rsidP="00D752EF">
                  <w:pPr>
                    <w:framePr w:hSpace="45" w:wrap="around" w:vAnchor="text" w:hAnchor="text"/>
                    <w:spacing w:after="0" w:line="240" w:lineRule="auto"/>
                    <w:rPr>
                      <w:rFonts w:ascii="Times New Roman" w:eastAsia="Calibri"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11682"/>
                  </w:tblGrid>
                  <w:tr w:rsidR="00D752EF" w:rsidRPr="00D752EF">
                    <w:tc>
                      <w:tcPr>
                        <w:tcW w:w="0" w:type="auto"/>
                        <w:hideMark/>
                      </w:tcPr>
                      <w:tbl>
                        <w:tblPr>
                          <w:tblpPr w:leftFromText="45" w:rightFromText="45" w:vertAnchor="text"/>
                          <w:tblW w:w="4866" w:type="pct"/>
                          <w:tblCellMar>
                            <w:left w:w="0" w:type="dxa"/>
                            <w:right w:w="0" w:type="dxa"/>
                          </w:tblCellMar>
                          <w:tblLook w:val="04A0" w:firstRow="1" w:lastRow="0" w:firstColumn="1" w:lastColumn="0" w:noHBand="0" w:noVBand="1"/>
                        </w:tblPr>
                        <w:tblGrid>
                          <w:gridCol w:w="11369"/>
                        </w:tblGrid>
                        <w:tr w:rsidR="00D752EF" w:rsidRPr="00D752EF" w:rsidTr="00D752EF">
                          <w:trPr>
                            <w:trHeight w:val="4034"/>
                          </w:trPr>
                          <w:tc>
                            <w:tcPr>
                              <w:tcW w:w="0" w:type="auto"/>
                              <w:tcMar>
                                <w:top w:w="135" w:type="dxa"/>
                                <w:left w:w="270" w:type="dxa"/>
                                <w:bottom w:w="135" w:type="dxa"/>
                                <w:right w:w="270" w:type="dxa"/>
                              </w:tcMar>
                              <w:hideMark/>
                            </w:tcPr>
                            <w:p w:rsidR="00D752EF" w:rsidRPr="00D752EF" w:rsidRDefault="00D752EF" w:rsidP="00D752EF">
                              <w:pPr>
                                <w:spacing w:after="0" w:line="360" w:lineRule="auto"/>
                                <w:jc w:val="center"/>
                                <w:rPr>
                                  <w:rFonts w:ascii="Helvetica" w:eastAsia="Calibri" w:hAnsi="Helvetica" w:cs="Helvetica"/>
                                  <w:color w:val="656565"/>
                                  <w:sz w:val="18"/>
                                  <w:szCs w:val="18"/>
                                </w:rPr>
                              </w:pPr>
                              <w:r w:rsidRPr="00D752EF">
                                <w:rPr>
                                  <w:rFonts w:ascii="Helvetica" w:eastAsia="Calibri" w:hAnsi="Helvetica" w:cs="Helvetica"/>
                                  <w:i/>
                                  <w:iCs/>
                                  <w:color w:val="656565"/>
                                  <w:sz w:val="18"/>
                                  <w:szCs w:val="18"/>
                                </w:rPr>
                                <w:t>Copyright © 2016 Conservation Technology Information Center, All rights reserved.</w:t>
                              </w:r>
                              <w:r w:rsidRPr="00D752EF">
                                <w:rPr>
                                  <w:rFonts w:ascii="Helvetica" w:eastAsia="Calibri" w:hAnsi="Helvetica" w:cs="Helvetica"/>
                                  <w:color w:val="656565"/>
                                  <w:sz w:val="18"/>
                                  <w:szCs w:val="18"/>
                                </w:rPr>
                                <w:t xml:space="preserve"> </w:t>
                              </w:r>
                              <w:r w:rsidRPr="00D752EF">
                                <w:rPr>
                                  <w:rFonts w:ascii="Helvetica" w:eastAsia="Calibri" w:hAnsi="Helvetica" w:cs="Helvetica"/>
                                  <w:color w:val="656565"/>
                                  <w:sz w:val="18"/>
                                  <w:szCs w:val="18"/>
                                </w:rPr>
                                <w:br/>
                                <w:t xml:space="preserve">You are receiving this email due to your interest in conservation agriculture. </w:t>
                              </w:r>
                              <w:r w:rsidRPr="00D752EF">
                                <w:rPr>
                                  <w:rFonts w:ascii="Helvetica" w:eastAsia="Calibri" w:hAnsi="Helvetica" w:cs="Helvetica"/>
                                  <w:color w:val="656565"/>
                                  <w:sz w:val="18"/>
                                  <w:szCs w:val="18"/>
                                </w:rPr>
                                <w:br/>
                              </w:r>
                              <w:r w:rsidRPr="00D752EF">
                                <w:rPr>
                                  <w:rFonts w:ascii="Helvetica" w:eastAsia="Calibri" w:hAnsi="Helvetica" w:cs="Helvetica"/>
                                  <w:color w:val="656565"/>
                                  <w:sz w:val="18"/>
                                  <w:szCs w:val="18"/>
                                </w:rPr>
                                <w:br/>
                              </w:r>
                              <w:r w:rsidRPr="00D752EF">
                                <w:rPr>
                                  <w:rFonts w:ascii="Helvetica" w:eastAsia="Calibri" w:hAnsi="Helvetica" w:cs="Helvetica"/>
                                  <w:b/>
                                  <w:bCs/>
                                  <w:color w:val="656565"/>
                                  <w:sz w:val="18"/>
                                  <w:szCs w:val="18"/>
                                </w:rPr>
                                <w:t>Our mailing address is:</w:t>
                              </w:r>
                              <w:r w:rsidRPr="00D752EF">
                                <w:rPr>
                                  <w:rFonts w:ascii="Helvetica" w:eastAsia="Calibri" w:hAnsi="Helvetica" w:cs="Helvetica"/>
                                  <w:color w:val="656565"/>
                                  <w:sz w:val="18"/>
                                  <w:szCs w:val="18"/>
                                </w:rPr>
                                <w:t xml:space="preserve"> </w:t>
                              </w:r>
                            </w:p>
                            <w:p w:rsidR="00D752EF" w:rsidRPr="00D752EF" w:rsidRDefault="00D752EF" w:rsidP="00D752EF">
                              <w:pPr>
                                <w:spacing w:after="0" w:line="360" w:lineRule="auto"/>
                                <w:jc w:val="center"/>
                                <w:rPr>
                                  <w:rFonts w:ascii="Helvetica" w:eastAsia="Calibri" w:hAnsi="Helvetica" w:cs="Helvetica"/>
                                  <w:color w:val="656565"/>
                                  <w:sz w:val="18"/>
                                  <w:szCs w:val="18"/>
                                </w:rPr>
                              </w:pPr>
                              <w:r w:rsidRPr="00D752EF">
                                <w:rPr>
                                  <w:rFonts w:ascii="Helvetica" w:eastAsia="Calibri" w:hAnsi="Helvetica" w:cs="Helvetica"/>
                                  <w:color w:val="656565"/>
                                  <w:sz w:val="18"/>
                                  <w:szCs w:val="18"/>
                                </w:rPr>
                                <w:t>Conservation Technology Information Center</w:t>
                              </w:r>
                            </w:p>
                            <w:p w:rsidR="00D752EF" w:rsidRPr="00D752EF" w:rsidRDefault="00D752EF" w:rsidP="00D752EF">
                              <w:pPr>
                                <w:spacing w:after="0" w:line="360" w:lineRule="auto"/>
                                <w:jc w:val="center"/>
                                <w:rPr>
                                  <w:rFonts w:ascii="Helvetica" w:eastAsia="Calibri" w:hAnsi="Helvetica" w:cs="Helvetica"/>
                                  <w:color w:val="656565"/>
                                  <w:sz w:val="18"/>
                                  <w:szCs w:val="18"/>
                                </w:rPr>
                              </w:pPr>
                              <w:r w:rsidRPr="00D752EF">
                                <w:rPr>
                                  <w:rFonts w:ascii="Helvetica" w:eastAsia="Calibri" w:hAnsi="Helvetica" w:cs="Helvetica"/>
                                  <w:color w:val="656565"/>
                                  <w:sz w:val="18"/>
                                  <w:szCs w:val="18"/>
                                </w:rPr>
                                <w:t>3495 Kent Ave., Suite L100</w:t>
                              </w:r>
                            </w:p>
                            <w:p w:rsidR="00D752EF" w:rsidRPr="00D752EF" w:rsidRDefault="00D752EF" w:rsidP="00D752EF">
                              <w:pPr>
                                <w:spacing w:after="0" w:line="360" w:lineRule="auto"/>
                                <w:jc w:val="center"/>
                                <w:rPr>
                                  <w:rFonts w:ascii="Helvetica" w:eastAsia="Calibri" w:hAnsi="Helvetica" w:cs="Helvetica"/>
                                  <w:color w:val="656565"/>
                                  <w:sz w:val="18"/>
                                  <w:szCs w:val="18"/>
                                </w:rPr>
                              </w:pPr>
                              <w:r w:rsidRPr="00D752EF">
                                <w:rPr>
                                  <w:rFonts w:ascii="Helvetica" w:eastAsia="Calibri" w:hAnsi="Helvetica" w:cs="Helvetica"/>
                                  <w:color w:val="656565"/>
                                  <w:sz w:val="18"/>
                                  <w:szCs w:val="18"/>
                                </w:rPr>
                                <w:t>West Lafayette, IN 47906</w:t>
                              </w:r>
                            </w:p>
                            <w:p w:rsidR="00D752EF" w:rsidRPr="00D752EF" w:rsidRDefault="00D752EF" w:rsidP="00D752EF">
                              <w:pPr>
                                <w:spacing w:after="0" w:line="360" w:lineRule="auto"/>
                                <w:jc w:val="center"/>
                                <w:rPr>
                                  <w:rFonts w:ascii="Helvetica" w:eastAsia="Calibri" w:hAnsi="Helvetica" w:cs="Helvetica"/>
                                  <w:color w:val="656565"/>
                                  <w:sz w:val="18"/>
                                  <w:szCs w:val="18"/>
                                </w:rPr>
                              </w:pPr>
                              <w:r w:rsidRPr="00D752EF">
                                <w:rPr>
                                  <w:rFonts w:ascii="Helvetica" w:eastAsia="Calibri" w:hAnsi="Helvetica" w:cs="Helvetica"/>
                                  <w:color w:val="656565"/>
                                  <w:sz w:val="18"/>
                                  <w:szCs w:val="18"/>
                                </w:rPr>
                                <w:br/>
                              </w:r>
                              <w:hyperlink r:id="rId15" w:history="1">
                                <w:r w:rsidRPr="00D752EF">
                                  <w:rPr>
                                    <w:rFonts w:ascii="Helvetica" w:eastAsia="Calibri" w:hAnsi="Helvetica" w:cs="Helvetica"/>
                                    <w:color w:val="656565"/>
                                    <w:sz w:val="18"/>
                                    <w:szCs w:val="18"/>
                                    <w:u w:val="single"/>
                                  </w:rPr>
                                  <w:t>Add us to your address book</w:t>
                                </w:r>
                              </w:hyperlink>
                            </w:p>
                            <w:p w:rsidR="00D752EF" w:rsidRPr="00D752EF" w:rsidRDefault="00D752EF" w:rsidP="00D752EF">
                              <w:pPr>
                                <w:spacing w:after="240" w:line="360" w:lineRule="auto"/>
                                <w:jc w:val="center"/>
                                <w:rPr>
                                  <w:rFonts w:ascii="Helvetica" w:eastAsia="Calibri" w:hAnsi="Helvetica" w:cs="Helvetica"/>
                                  <w:color w:val="656565"/>
                                  <w:sz w:val="18"/>
                                  <w:szCs w:val="18"/>
                                </w:rPr>
                              </w:pPr>
                              <w:r w:rsidRPr="00D752EF">
                                <w:rPr>
                                  <w:rFonts w:ascii="Helvetica" w:eastAsia="Calibri" w:hAnsi="Helvetica" w:cs="Helvetica"/>
                                  <w:color w:val="656565"/>
                                  <w:sz w:val="18"/>
                                  <w:szCs w:val="18"/>
                                </w:rPr>
                                <w:br/>
                              </w:r>
                              <w:r w:rsidRPr="00D752EF">
                                <w:rPr>
                                  <w:rFonts w:ascii="Helvetica" w:eastAsia="Calibri" w:hAnsi="Helvetica" w:cs="Helvetica"/>
                                  <w:color w:val="656565"/>
                                  <w:sz w:val="18"/>
                                  <w:szCs w:val="18"/>
                                </w:rPr>
                                <w:br/>
                                <w:t>Want to change how you receive these emails?</w:t>
                              </w:r>
                              <w:r w:rsidRPr="00D752EF">
                                <w:rPr>
                                  <w:rFonts w:ascii="Helvetica" w:eastAsia="Calibri" w:hAnsi="Helvetica" w:cs="Helvetica"/>
                                  <w:color w:val="656565"/>
                                  <w:sz w:val="18"/>
                                  <w:szCs w:val="18"/>
                                </w:rPr>
                                <w:br/>
                                <w:t xml:space="preserve">You can </w:t>
                              </w:r>
                              <w:hyperlink r:id="rId16" w:history="1">
                                <w:r w:rsidRPr="00D752EF">
                                  <w:rPr>
                                    <w:rFonts w:ascii="Helvetica" w:eastAsia="Calibri" w:hAnsi="Helvetica" w:cs="Helvetica"/>
                                    <w:color w:val="656565"/>
                                    <w:sz w:val="18"/>
                                    <w:szCs w:val="18"/>
                                    <w:u w:val="single"/>
                                  </w:rPr>
                                  <w:t>update your preferences</w:t>
                                </w:r>
                              </w:hyperlink>
                              <w:r w:rsidRPr="00D752EF">
                                <w:rPr>
                                  <w:rFonts w:ascii="Helvetica" w:eastAsia="Calibri" w:hAnsi="Helvetica" w:cs="Helvetica"/>
                                  <w:color w:val="656565"/>
                                  <w:sz w:val="18"/>
                                  <w:szCs w:val="18"/>
                                </w:rPr>
                                <w:t xml:space="preserve"> or </w:t>
                              </w:r>
                              <w:hyperlink r:id="rId17" w:history="1">
                                <w:r w:rsidRPr="00D752EF">
                                  <w:rPr>
                                    <w:rFonts w:ascii="Helvetica" w:eastAsia="Calibri" w:hAnsi="Helvetica" w:cs="Helvetica"/>
                                    <w:color w:val="656565"/>
                                    <w:sz w:val="18"/>
                                    <w:szCs w:val="18"/>
                                    <w:u w:val="single"/>
                                  </w:rPr>
                                  <w:t>unsubscribe from this list</w:t>
                                </w:r>
                              </w:hyperlink>
                              <w:r w:rsidRPr="00D752EF">
                                <w:rPr>
                                  <w:rFonts w:ascii="Helvetica" w:eastAsia="Calibri" w:hAnsi="Helvetica" w:cs="Helvetica"/>
                                  <w:color w:val="656565"/>
                                  <w:sz w:val="18"/>
                                  <w:szCs w:val="18"/>
                                </w:rPr>
                                <w:t xml:space="preserve"> </w:t>
                              </w:r>
                            </w:p>
                          </w:tc>
                        </w:tr>
                      </w:tbl>
                      <w:p w:rsidR="00D752EF" w:rsidRPr="00D752EF" w:rsidRDefault="00D752EF" w:rsidP="00D752EF">
                        <w:pPr>
                          <w:framePr w:hSpace="45" w:wrap="around" w:vAnchor="text" w:hAnchor="text"/>
                          <w:spacing w:after="0" w:line="240" w:lineRule="auto"/>
                          <w:rPr>
                            <w:rFonts w:ascii="Times New Roman" w:eastAsia="Times New Roman" w:hAnsi="Times New Roman" w:cs="Times New Roman"/>
                            <w:sz w:val="20"/>
                            <w:szCs w:val="20"/>
                          </w:rPr>
                        </w:pPr>
                      </w:p>
                    </w:tc>
                  </w:tr>
                </w:tbl>
                <w:p w:rsidR="00D752EF" w:rsidRPr="00D752EF" w:rsidRDefault="00D752EF" w:rsidP="00D752EF">
                  <w:pPr>
                    <w:framePr w:hSpace="45" w:wrap="around" w:vAnchor="text" w:hAnchor="text"/>
                    <w:spacing w:after="0" w:line="240" w:lineRule="auto"/>
                    <w:rPr>
                      <w:rFonts w:ascii="Times New Roman" w:eastAsia="Times New Roman" w:hAnsi="Times New Roman" w:cs="Times New Roman"/>
                      <w:sz w:val="24"/>
                      <w:szCs w:val="24"/>
                    </w:rPr>
                  </w:pPr>
                </w:p>
              </w:tc>
            </w:tr>
          </w:tbl>
          <w:p w:rsidR="00D752EF" w:rsidRPr="00D752EF" w:rsidRDefault="00D752EF" w:rsidP="00D752EF"/>
        </w:tc>
      </w:tr>
    </w:tbl>
    <w:p w:rsidR="00B52267" w:rsidRDefault="00B52267"/>
    <w:sectPr w:rsidR="00B52267" w:rsidSect="00D752EF">
      <w:pgSz w:w="12240" w:h="15840"/>
      <w:pgMar w:top="144" w:right="144" w:bottom="144"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21907"/>
    <w:multiLevelType w:val="multilevel"/>
    <w:tmpl w:val="A27E4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EF"/>
    <w:rsid w:val="00B52267"/>
    <w:rsid w:val="00D7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C79EA0B-DA62-45FA-91E7-03700F07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15465">
      <w:bodyDiv w:val="1"/>
      <w:marLeft w:val="0"/>
      <w:marRight w:val="0"/>
      <w:marTop w:val="0"/>
      <w:marBottom w:val="0"/>
      <w:divBdr>
        <w:top w:val="none" w:sz="0" w:space="0" w:color="auto"/>
        <w:left w:val="none" w:sz="0" w:space="0" w:color="auto"/>
        <w:bottom w:val="none" w:sz="0" w:space="0" w:color="auto"/>
        <w:right w:val="none" w:sz="0" w:space="0" w:color="auto"/>
      </w:divBdr>
    </w:div>
    <w:div w:id="8657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ic.us3.list-manage1.com/track/click?u=322a2359adf7262cd17ce6b30&amp;id=e55ffc7416&amp;e=5179894997" TargetMode="External"/><Relationship Id="rId13" Type="http://schemas.openxmlformats.org/officeDocument/2006/relationships/hyperlink" Target="http://ctic.us3.list-manage.com/track/click?u=322a2359adf7262cd17ce6b30&amp;id=ce5e3d72ed&amp;e=517989499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gallery.mailchimp.com/322a2359adf7262cd17ce6b30/images/44c6ef2b-55c8-4980-8093-cf0d6236ccbe.png" TargetMode="External"/><Relationship Id="rId12" Type="http://schemas.openxmlformats.org/officeDocument/2006/relationships/image" Target="media/image3.png"/><Relationship Id="rId17" Type="http://schemas.openxmlformats.org/officeDocument/2006/relationships/hyperlink" Target="http://ctic.us3.list-manage1.com/unsubscribe?u=322a2359adf7262cd17ce6b30&amp;id=2df5db205b&amp;e=5179894997&amp;c=46a1e092cb" TargetMode="External"/><Relationship Id="rId2" Type="http://schemas.openxmlformats.org/officeDocument/2006/relationships/styles" Target="styles.xml"/><Relationship Id="rId16" Type="http://schemas.openxmlformats.org/officeDocument/2006/relationships/hyperlink" Target="http://ctic.us3.list-manage.com/profile?u=322a2359adf7262cd17ce6b30&amp;id=2df5db205b&amp;e=5179894997" TargetMode="External"/><Relationship Id="rId1" Type="http://schemas.openxmlformats.org/officeDocument/2006/relationships/numbering" Target="numbering.xml"/><Relationship Id="rId6" Type="http://schemas.openxmlformats.org/officeDocument/2006/relationships/hyperlink" Target="http://ctic.us3.list-manage2.com/track/click?u=322a2359adf7262cd17ce6b30&amp;id=c41d9829be&amp;e=5179894997" TargetMode="External"/><Relationship Id="rId11" Type="http://schemas.openxmlformats.org/officeDocument/2006/relationships/hyperlink" Target="http://ctic.us3.list-manage1.com/track/click?u=322a2359adf7262cd17ce6b30&amp;id=670bcfd6b5&amp;e=5179894997" TargetMode="External"/><Relationship Id="rId5" Type="http://schemas.openxmlformats.org/officeDocument/2006/relationships/image" Target="media/image1.png"/><Relationship Id="rId15" Type="http://schemas.openxmlformats.org/officeDocument/2006/relationships/hyperlink" Target="http://ctic.us3.list-manage.com/vcard?u=322a2359adf7262cd17ce6b30&amp;id=2df5db205b"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tic.us3.list-manage.com/track/click?u=322a2359adf7262cd17ce6b30&amp;id=655bd4a05a&amp;e=5179894997"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Sharona - NRCS-CD, Weiser, ID</dc:creator>
  <cp:keywords/>
  <dc:description/>
  <cp:lastModifiedBy>Olsen, Sharona - NRCS-CD, Weiser, ID</cp:lastModifiedBy>
  <cp:revision>1</cp:revision>
  <dcterms:created xsi:type="dcterms:W3CDTF">2016-08-16T18:17:00Z</dcterms:created>
  <dcterms:modified xsi:type="dcterms:W3CDTF">2016-08-16T18:26:00Z</dcterms:modified>
</cp:coreProperties>
</file>